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282F" w14:textId="6E52747C" w:rsidR="004808D8" w:rsidRDefault="005D3CB8" w:rsidP="004C7148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180876">
        <w:rPr>
          <w:rFonts w:cs="Arial"/>
          <w:b/>
          <w:szCs w:val="24"/>
        </w:rPr>
        <w:t>a</w:t>
      </w:r>
      <w:r w:rsidR="00180876" w:rsidRPr="00180876">
        <w:rPr>
          <w:rFonts w:cs="Arial"/>
          <w:b/>
          <w:szCs w:val="24"/>
        </w:rPr>
        <w:t xml:space="preserve">vvio dell’operatività della </w:t>
      </w:r>
      <w:r w:rsidR="00C72CDC">
        <w:rPr>
          <w:rFonts w:cs="Arial"/>
          <w:b/>
          <w:szCs w:val="24"/>
        </w:rPr>
        <w:t>s</w:t>
      </w:r>
      <w:r w:rsidR="00180876" w:rsidRPr="00180876">
        <w:rPr>
          <w:rFonts w:cs="Arial"/>
          <w:b/>
          <w:szCs w:val="24"/>
        </w:rPr>
        <w:t xml:space="preserve">ezione speciale </w:t>
      </w:r>
      <w:r w:rsidR="00C72CDC">
        <w:rPr>
          <w:rFonts w:cs="Arial"/>
          <w:b/>
          <w:szCs w:val="24"/>
        </w:rPr>
        <w:t>t</w:t>
      </w:r>
      <w:r w:rsidR="00180876" w:rsidRPr="00180876">
        <w:rPr>
          <w:rFonts w:cs="Arial"/>
          <w:b/>
          <w:szCs w:val="24"/>
        </w:rPr>
        <w:t>urismo</w:t>
      </w:r>
      <w:r w:rsidR="00180876">
        <w:rPr>
          <w:rFonts w:cs="Arial"/>
          <w:b/>
          <w:szCs w:val="24"/>
        </w:rPr>
        <w:t xml:space="preserve"> - </w:t>
      </w:r>
      <w:r w:rsidR="00180876" w:rsidRPr="00180876">
        <w:rPr>
          <w:rFonts w:cs="Arial"/>
          <w:b/>
          <w:szCs w:val="24"/>
        </w:rPr>
        <w:t>articolo 2 del decreto-legge 6</w:t>
      </w:r>
      <w:r w:rsidR="00180876">
        <w:rPr>
          <w:rFonts w:cs="Arial"/>
          <w:b/>
          <w:szCs w:val="24"/>
        </w:rPr>
        <w:t xml:space="preserve"> </w:t>
      </w:r>
      <w:r w:rsidR="00180876" w:rsidRPr="00180876">
        <w:rPr>
          <w:rFonts w:cs="Arial"/>
          <w:b/>
          <w:szCs w:val="24"/>
        </w:rPr>
        <w:t>novembre 2021, n.152</w:t>
      </w:r>
      <w:r w:rsidR="00180876">
        <w:rPr>
          <w:rFonts w:cs="Arial"/>
          <w:b/>
          <w:szCs w:val="24"/>
        </w:rPr>
        <w:t xml:space="preserve"> - </w:t>
      </w:r>
      <w:r w:rsidR="00C72CDC">
        <w:rPr>
          <w:rFonts w:cs="Arial"/>
          <w:b/>
          <w:szCs w:val="24"/>
        </w:rPr>
        <w:t>m</w:t>
      </w:r>
      <w:r w:rsidR="00180876">
        <w:rPr>
          <w:rFonts w:cs="Arial"/>
          <w:b/>
          <w:szCs w:val="24"/>
        </w:rPr>
        <w:t>ediocredito centrale circolare n. 7/2022.</w:t>
      </w:r>
    </w:p>
    <w:p w14:paraId="333012CE" w14:textId="5974F4D8" w:rsidR="004D0BAF" w:rsidRDefault="004808D8" w:rsidP="00B5329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Si rammenta </w:t>
      </w:r>
      <w:r w:rsidR="004C7148">
        <w:rPr>
          <w:rFonts w:cs="Arial"/>
          <w:szCs w:val="24"/>
        </w:rPr>
        <w:t xml:space="preserve">che, </w:t>
      </w:r>
      <w:r w:rsidRPr="004808D8">
        <w:rPr>
          <w:rFonts w:cs="Arial"/>
          <w:szCs w:val="24"/>
        </w:rPr>
        <w:t>a partire dal 10 ottobre 2022,</w:t>
      </w:r>
      <w:r>
        <w:rPr>
          <w:rFonts w:cs="Arial"/>
          <w:szCs w:val="24"/>
        </w:rPr>
        <w:t xml:space="preserve"> è </w:t>
      </w:r>
      <w:r w:rsidRPr="004808D8">
        <w:rPr>
          <w:rFonts w:cs="Arial"/>
          <w:szCs w:val="24"/>
        </w:rPr>
        <w:t xml:space="preserve">possibile presentare le richieste di garanzia al </w:t>
      </w:r>
      <w:r w:rsidR="00807FA7">
        <w:rPr>
          <w:rFonts w:cs="Arial"/>
          <w:szCs w:val="24"/>
        </w:rPr>
        <w:t>f</w:t>
      </w:r>
      <w:r w:rsidRPr="004808D8">
        <w:rPr>
          <w:rFonts w:cs="Arial"/>
          <w:szCs w:val="24"/>
        </w:rPr>
        <w:t>ondo a</w:t>
      </w:r>
      <w:r>
        <w:rPr>
          <w:rFonts w:cs="Arial"/>
          <w:szCs w:val="24"/>
        </w:rPr>
        <w:t xml:space="preserve"> </w:t>
      </w:r>
      <w:r w:rsidRPr="004808D8">
        <w:rPr>
          <w:rFonts w:cs="Arial"/>
          <w:szCs w:val="24"/>
        </w:rPr>
        <w:t xml:space="preserve">valere sulla </w:t>
      </w:r>
      <w:r w:rsidR="008E6EBC">
        <w:rPr>
          <w:rFonts w:cs="Arial"/>
          <w:szCs w:val="24"/>
        </w:rPr>
        <w:t>s</w:t>
      </w:r>
      <w:r w:rsidRPr="004808D8">
        <w:rPr>
          <w:rFonts w:cs="Arial"/>
          <w:szCs w:val="24"/>
        </w:rPr>
        <w:t xml:space="preserve">ezione speciale </w:t>
      </w:r>
      <w:r w:rsidR="008E6EBC">
        <w:rPr>
          <w:rFonts w:cs="Arial"/>
          <w:szCs w:val="24"/>
        </w:rPr>
        <w:t>t</w:t>
      </w:r>
      <w:r w:rsidRPr="004808D8">
        <w:rPr>
          <w:rFonts w:cs="Arial"/>
          <w:szCs w:val="24"/>
        </w:rPr>
        <w:t>urismo</w:t>
      </w:r>
      <w:r w:rsidR="001E23A4">
        <w:rPr>
          <w:rFonts w:cs="Arial"/>
          <w:szCs w:val="24"/>
        </w:rPr>
        <w:t xml:space="preserve">, </w:t>
      </w:r>
      <w:r w:rsidRPr="004808D8">
        <w:rPr>
          <w:rFonts w:cs="Arial"/>
          <w:szCs w:val="24"/>
        </w:rPr>
        <w:t>istituita ai sensi dell’articolo 2 del decreto-legge 6 novembre 2021, n.152, finalizzata alla concessione di garanzie in favore de</w:t>
      </w:r>
      <w:r w:rsidR="003F59D1">
        <w:rPr>
          <w:rFonts w:cs="Arial"/>
          <w:szCs w:val="24"/>
        </w:rPr>
        <w:t xml:space="preserve">lle </w:t>
      </w:r>
      <w:r w:rsidR="003F59D1" w:rsidRPr="003F59D1">
        <w:rPr>
          <w:rFonts w:cs="Arial"/>
          <w:szCs w:val="24"/>
        </w:rPr>
        <w:t>imprese del settore turistico</w:t>
      </w:r>
      <w:r w:rsidR="00256EC2">
        <w:rPr>
          <w:rFonts w:cs="Arial"/>
          <w:szCs w:val="24"/>
        </w:rPr>
        <w:t xml:space="preserve"> </w:t>
      </w:r>
      <w:r w:rsidR="00974FAD">
        <w:rPr>
          <w:rFonts w:cs="Arial"/>
          <w:szCs w:val="24"/>
        </w:rPr>
        <w:t>(cfr. nostre circolari n. 427 del 2021 e n. 240, n. 341 del 2022).</w:t>
      </w:r>
    </w:p>
    <w:p w14:paraId="76E1D7E2" w14:textId="77777777" w:rsidR="008C772F" w:rsidRDefault="008C772F" w:rsidP="00B53297">
      <w:pPr>
        <w:spacing w:after="120"/>
        <w:rPr>
          <w:rFonts w:cs="Arial"/>
          <w:szCs w:val="24"/>
        </w:rPr>
      </w:pPr>
    </w:p>
    <w:p w14:paraId="442B7C3E" w14:textId="0E74E149" w:rsidR="008D2F5B" w:rsidRPr="008D2F5B" w:rsidRDefault="008D2F5B" w:rsidP="008D2F5B">
      <w:pPr>
        <w:spacing w:after="120"/>
        <w:rPr>
          <w:rFonts w:cs="Arial"/>
          <w:b/>
          <w:bCs/>
          <w:szCs w:val="24"/>
        </w:rPr>
      </w:pPr>
      <w:r w:rsidRPr="008D2F5B">
        <w:rPr>
          <w:rFonts w:cs="Arial"/>
          <w:b/>
          <w:bCs/>
          <w:szCs w:val="24"/>
        </w:rPr>
        <w:t>finanziamenti oggetto di garanzia</w:t>
      </w:r>
    </w:p>
    <w:p w14:paraId="6180F7E4" w14:textId="459CB283" w:rsidR="005E750A" w:rsidRPr="005E750A" w:rsidRDefault="00256EC2" w:rsidP="005E750A">
      <w:pPr>
        <w:spacing w:after="120"/>
        <w:rPr>
          <w:rFonts w:cs="Arial"/>
          <w:szCs w:val="24"/>
        </w:rPr>
      </w:pPr>
      <w:r w:rsidRPr="00256EC2">
        <w:rPr>
          <w:rFonts w:cs="Arial"/>
          <w:szCs w:val="24"/>
        </w:rPr>
        <w:t>Le garanzie della Sezione speciale sono rilasciate, su singoli finanziamenti o su portafogli di finanziamenti</w:t>
      </w:r>
      <w:r>
        <w:rPr>
          <w:rFonts w:cs="Arial"/>
          <w:szCs w:val="24"/>
        </w:rPr>
        <w:t xml:space="preserve"> finalizzati </w:t>
      </w:r>
      <w:r w:rsidR="005E750A" w:rsidRPr="005E750A">
        <w:rPr>
          <w:rFonts w:cs="Arial"/>
          <w:szCs w:val="24"/>
        </w:rPr>
        <w:t>a:</w:t>
      </w:r>
    </w:p>
    <w:p w14:paraId="4687D96D" w14:textId="77777777" w:rsidR="005D3CB8" w:rsidRDefault="005E750A" w:rsidP="005D3CB8">
      <w:pPr>
        <w:spacing w:after="120"/>
        <w:rPr>
          <w:rFonts w:cs="Arial"/>
          <w:szCs w:val="24"/>
        </w:rPr>
      </w:pPr>
      <w:r w:rsidRPr="005E750A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i</w:t>
      </w:r>
      <w:r w:rsidRPr="005E750A">
        <w:rPr>
          <w:rFonts w:cs="Arial"/>
          <w:szCs w:val="24"/>
        </w:rPr>
        <w:t>nterventi di riqualificazione energetica e innovazione digitale, nel rispetto del principio di “non</w:t>
      </w:r>
      <w:r w:rsidR="005D3CB8">
        <w:rPr>
          <w:rFonts w:cs="Arial"/>
          <w:szCs w:val="24"/>
        </w:rPr>
        <w:t xml:space="preserve"> </w:t>
      </w:r>
      <w:r w:rsidRPr="005E750A">
        <w:rPr>
          <w:rFonts w:cs="Arial"/>
          <w:szCs w:val="24"/>
        </w:rPr>
        <w:t xml:space="preserve">inquinare significativamente”, di cui alla comunicazione alla Commissione europea 2021/C58/01; </w:t>
      </w:r>
    </w:p>
    <w:p w14:paraId="0965FFB1" w14:textId="5D760403" w:rsidR="005E750A" w:rsidRPr="008D2F5B" w:rsidRDefault="005E750A" w:rsidP="005D3CB8">
      <w:pPr>
        <w:spacing w:after="120"/>
        <w:rPr>
          <w:rFonts w:cs="Arial"/>
          <w:szCs w:val="24"/>
        </w:rPr>
      </w:pPr>
      <w:r w:rsidRPr="005E750A">
        <w:rPr>
          <w:rFonts w:cs="Arial"/>
          <w:szCs w:val="24"/>
        </w:rPr>
        <w:t xml:space="preserve">- </w:t>
      </w:r>
      <w:r w:rsidR="005D3CB8">
        <w:rPr>
          <w:rFonts w:cs="Arial"/>
          <w:szCs w:val="24"/>
        </w:rPr>
        <w:t>a</w:t>
      </w:r>
      <w:r w:rsidRPr="005E750A">
        <w:rPr>
          <w:rFonts w:cs="Arial"/>
          <w:szCs w:val="24"/>
        </w:rPr>
        <w:t>ssicurare la continuità aziendale delle imprese del settore turistico e garantire il fabbisogno di</w:t>
      </w:r>
      <w:r>
        <w:rPr>
          <w:rFonts w:cs="Arial"/>
          <w:szCs w:val="24"/>
        </w:rPr>
        <w:t xml:space="preserve"> </w:t>
      </w:r>
      <w:r w:rsidRPr="005E750A">
        <w:rPr>
          <w:rFonts w:cs="Arial"/>
          <w:szCs w:val="24"/>
        </w:rPr>
        <w:t>liquidità e gli investimenti del settore stesso.</w:t>
      </w:r>
    </w:p>
    <w:p w14:paraId="04B4EB4D" w14:textId="45EA6F9D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 xml:space="preserve">Sono ammissibili anche operazioni finanziarie già perfezionate con l'erogazione da parte del soggetto finanziatore da non oltre </w:t>
      </w:r>
      <w:r w:rsidR="008C772F">
        <w:rPr>
          <w:rFonts w:cs="Arial"/>
          <w:szCs w:val="24"/>
        </w:rPr>
        <w:t>tre</w:t>
      </w:r>
      <w:r w:rsidRPr="008D2F5B">
        <w:rPr>
          <w:rFonts w:cs="Arial"/>
          <w:szCs w:val="24"/>
        </w:rPr>
        <w:t xml:space="preserve"> mesi. In tal caso, la concessione della garanzia dovrà comportare una riduzione nel costo del tasso di interesse applicato.</w:t>
      </w:r>
    </w:p>
    <w:p w14:paraId="2BB39B53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La garanzia può essere richiesta inoltre su operazioni di rinegoziazione del debito, a condizione che:</w:t>
      </w:r>
    </w:p>
    <w:p w14:paraId="245A9B64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- il nuovo finanziamento preveda l'erogazione di credito aggiuntivo in misura pari ad almeno il 25% dell'importo del debito accordato in essere del finanziamento oggetto di rinegoziazione;</w:t>
      </w:r>
    </w:p>
    <w:p w14:paraId="430815CF" w14:textId="7004DF9F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- il rilascio della garanzia sia idoneo a determinare un minor costo o una maggior durata del finanziamento rispetto a quello oggetto di rinegoziazione.</w:t>
      </w:r>
    </w:p>
    <w:p w14:paraId="0603C3A3" w14:textId="77777777" w:rsidR="008C772F" w:rsidRPr="008D2F5B" w:rsidRDefault="008C772F" w:rsidP="008D2F5B">
      <w:pPr>
        <w:spacing w:after="120"/>
        <w:rPr>
          <w:rFonts w:cs="Arial"/>
          <w:szCs w:val="24"/>
        </w:rPr>
      </w:pPr>
    </w:p>
    <w:p w14:paraId="28396ECE" w14:textId="0C5B5041" w:rsidR="008D2F5B" w:rsidRPr="008D2F5B" w:rsidRDefault="008D2F5B" w:rsidP="008D2F5B">
      <w:pPr>
        <w:spacing w:after="120"/>
        <w:rPr>
          <w:rFonts w:cs="Arial"/>
          <w:b/>
          <w:bCs/>
          <w:szCs w:val="24"/>
        </w:rPr>
      </w:pPr>
      <w:r w:rsidRPr="008D2F5B">
        <w:rPr>
          <w:rFonts w:cs="Arial"/>
          <w:b/>
          <w:bCs/>
          <w:szCs w:val="24"/>
        </w:rPr>
        <w:t>copertura della garanzia</w:t>
      </w:r>
    </w:p>
    <w:p w14:paraId="3E5CAF0D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Le garanzie sono concesse per una percentuale massima di copertura:</w:t>
      </w:r>
    </w:p>
    <w:p w14:paraId="04B453E0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- nel caso di garanzia diretta: del 70% dell'ammontare di ciascuna operazione finanziaria;</w:t>
      </w:r>
    </w:p>
    <w:p w14:paraId="15027D2A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lastRenderedPageBreak/>
        <w:t>- nel caso di riassicurazione: dell’80% dell'importo garantito dai confidi o da altro fondo di garanzia, a condizione che le garanzie da questi rilasciate non superino la copertura dell'80%.</w:t>
      </w:r>
    </w:p>
    <w:p w14:paraId="1B885DFF" w14:textId="27EC24CE" w:rsid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 xml:space="preserve">Le suddette percentuali di copertura della garanzia diretta e della riassicurazione possono essere incrementate rispettivamente fino all’80% e al 90%, mediante l'utilizzo delle risorse apportate al Fondo da parte delle Regioni, Province Autonome e di altri enti e organismi pubblici, banche e SACE, ai sensi del decreto Fund </w:t>
      </w:r>
      <w:proofErr w:type="spellStart"/>
      <w:r w:rsidRPr="008D2F5B">
        <w:rPr>
          <w:rFonts w:cs="Arial"/>
          <w:szCs w:val="24"/>
        </w:rPr>
        <w:t>Raising</w:t>
      </w:r>
      <w:proofErr w:type="spellEnd"/>
      <w:r w:rsidRPr="008D2F5B">
        <w:rPr>
          <w:rFonts w:cs="Arial"/>
          <w:szCs w:val="24"/>
        </w:rPr>
        <w:t xml:space="preserve"> del Ministero dello Sviluppo Economico e del Ministero dell'Economia e delle Finanze del 26 gennaio 2012.</w:t>
      </w:r>
    </w:p>
    <w:p w14:paraId="294CC8A1" w14:textId="4492322D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Alle garanzie rilasciate a valere sulla sezione speciale sono applicabili, per quanto compatibili, tutti i regimi di aiuto, ivi compreso il nuovo Quadro temporaneo di crisi per sostenere l'economia nel contesto dell'invasione dell'Ucraina da parte della Russia (</w:t>
      </w:r>
      <w:proofErr w:type="spellStart"/>
      <w:r w:rsidRPr="008D2F5B">
        <w:rPr>
          <w:rFonts w:cs="Arial"/>
          <w:szCs w:val="24"/>
        </w:rPr>
        <w:t>Temporary</w:t>
      </w:r>
      <w:proofErr w:type="spellEnd"/>
      <w:r w:rsidRPr="008D2F5B">
        <w:rPr>
          <w:rFonts w:cs="Arial"/>
          <w:szCs w:val="24"/>
        </w:rPr>
        <w:t xml:space="preserve"> </w:t>
      </w:r>
      <w:proofErr w:type="spellStart"/>
      <w:r w:rsidRPr="008D2F5B">
        <w:rPr>
          <w:rFonts w:cs="Arial"/>
          <w:szCs w:val="24"/>
        </w:rPr>
        <w:t>Crisis</w:t>
      </w:r>
      <w:proofErr w:type="spellEnd"/>
      <w:r w:rsidRPr="008D2F5B">
        <w:rPr>
          <w:rFonts w:cs="Arial"/>
          <w:szCs w:val="24"/>
        </w:rPr>
        <w:t xml:space="preserve"> Framework), vigenti alla data di presentazione della richiesta di ammissione stessa (cfr. nostra circolare n. 380 del 2022).</w:t>
      </w:r>
    </w:p>
    <w:p w14:paraId="379BD345" w14:textId="77777777" w:rsidR="008C772F" w:rsidRPr="008D2F5B" w:rsidRDefault="008C772F" w:rsidP="008D2F5B">
      <w:pPr>
        <w:spacing w:after="120"/>
        <w:rPr>
          <w:rFonts w:cs="Arial"/>
          <w:szCs w:val="24"/>
        </w:rPr>
      </w:pPr>
    </w:p>
    <w:p w14:paraId="598AB9C8" w14:textId="153ABB78" w:rsidR="008D2F5B" w:rsidRPr="008D2F5B" w:rsidRDefault="008D2F5B" w:rsidP="008D2F5B">
      <w:pPr>
        <w:spacing w:after="120"/>
        <w:rPr>
          <w:rFonts w:cs="Arial"/>
          <w:b/>
          <w:bCs/>
          <w:szCs w:val="24"/>
        </w:rPr>
      </w:pPr>
      <w:r w:rsidRPr="008D2F5B">
        <w:rPr>
          <w:rFonts w:cs="Arial"/>
          <w:b/>
          <w:bCs/>
          <w:szCs w:val="24"/>
        </w:rPr>
        <w:t>caratteristiche della sezione speciale</w:t>
      </w:r>
    </w:p>
    <w:p w14:paraId="3A0605B3" w14:textId="77777777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La sezione speciale prevede procedure di accesso semplificate e più vantaggiose.</w:t>
      </w:r>
    </w:p>
    <w:p w14:paraId="64905586" w14:textId="4DC8C149" w:rsidR="008D2F5B" w:rsidRPr="008D2F5B" w:rsidRDefault="008D2F5B" w:rsidP="008D2F5B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La garanzia</w:t>
      </w:r>
      <w:r>
        <w:rPr>
          <w:rFonts w:cs="Arial"/>
          <w:szCs w:val="24"/>
        </w:rPr>
        <w:t xml:space="preserve"> </w:t>
      </w:r>
      <w:r w:rsidRPr="008D2F5B">
        <w:rPr>
          <w:rFonts w:cs="Arial"/>
          <w:szCs w:val="24"/>
        </w:rPr>
        <w:t>è concessa a titolo gratuito e senza applicazione del modello di valutazione.</w:t>
      </w:r>
      <w:r>
        <w:rPr>
          <w:rFonts w:cs="Arial"/>
          <w:szCs w:val="24"/>
        </w:rPr>
        <w:t xml:space="preserve"> </w:t>
      </w:r>
      <w:r w:rsidRPr="008D2F5B">
        <w:rPr>
          <w:rFonts w:cs="Arial"/>
          <w:szCs w:val="24"/>
        </w:rPr>
        <w:t xml:space="preserve">Le imprese, inoltre, possono essere garantite per un massimo di </w:t>
      </w:r>
      <w:proofErr w:type="gramStart"/>
      <w:r w:rsidRPr="008D2F5B">
        <w:rPr>
          <w:rFonts w:cs="Arial"/>
          <w:szCs w:val="24"/>
        </w:rPr>
        <w:t>5</w:t>
      </w:r>
      <w:proofErr w:type="gramEnd"/>
      <w:r w:rsidRPr="008D2F5B">
        <w:rPr>
          <w:rFonts w:cs="Arial"/>
          <w:szCs w:val="24"/>
        </w:rPr>
        <w:t xml:space="preserve"> milioni di euro.</w:t>
      </w:r>
      <w:r>
        <w:rPr>
          <w:rFonts w:cs="Arial"/>
          <w:szCs w:val="24"/>
        </w:rPr>
        <w:t xml:space="preserve"> </w:t>
      </w:r>
      <w:r w:rsidRPr="008D2F5B">
        <w:rPr>
          <w:rFonts w:cs="Arial"/>
          <w:szCs w:val="24"/>
        </w:rPr>
        <w:t>Non sarà dovuta neppure la commissione per il mancato perfezionamento delle operazioni finanziarie.</w:t>
      </w:r>
      <w:r>
        <w:rPr>
          <w:rFonts w:cs="Arial"/>
          <w:szCs w:val="24"/>
        </w:rPr>
        <w:t xml:space="preserve"> </w:t>
      </w:r>
      <w:r w:rsidRPr="008D2F5B">
        <w:rPr>
          <w:rFonts w:cs="Arial"/>
          <w:szCs w:val="24"/>
        </w:rPr>
        <w:t>È poi previsto che per le operazioni di investimento immobiliare la garanzia può essere cumulata con altre forme di garanzia acquisite sui finanziamenti.</w:t>
      </w:r>
    </w:p>
    <w:p w14:paraId="29ABF2E6" w14:textId="77777777" w:rsidR="008C772F" w:rsidRPr="008D2F5B" w:rsidRDefault="008C772F" w:rsidP="008D2F5B">
      <w:pPr>
        <w:spacing w:after="120"/>
        <w:rPr>
          <w:rFonts w:cs="Arial"/>
          <w:szCs w:val="24"/>
        </w:rPr>
      </w:pPr>
    </w:p>
    <w:p w14:paraId="102DE3D4" w14:textId="1CC67F88" w:rsidR="008D2F5B" w:rsidRPr="008D2F5B" w:rsidRDefault="008D2F5B" w:rsidP="008D2F5B">
      <w:pPr>
        <w:spacing w:after="120"/>
        <w:rPr>
          <w:rFonts w:cs="Arial"/>
          <w:b/>
          <w:bCs/>
          <w:szCs w:val="24"/>
        </w:rPr>
      </w:pPr>
      <w:r w:rsidRPr="008D2F5B">
        <w:rPr>
          <w:rFonts w:cs="Arial"/>
          <w:b/>
          <w:bCs/>
          <w:szCs w:val="24"/>
        </w:rPr>
        <w:t>come si accede</w:t>
      </w:r>
    </w:p>
    <w:p w14:paraId="2B06CE3E" w14:textId="5DD10BB9" w:rsidR="009437D3" w:rsidRDefault="008D2F5B" w:rsidP="009437D3">
      <w:pPr>
        <w:spacing w:after="120"/>
        <w:rPr>
          <w:rFonts w:cs="Arial"/>
          <w:szCs w:val="24"/>
        </w:rPr>
      </w:pPr>
      <w:r w:rsidRPr="008D2F5B">
        <w:rPr>
          <w:rFonts w:cs="Arial"/>
          <w:szCs w:val="24"/>
        </w:rPr>
        <w:t>La richiesta di finanziamento dovrà essere presentata dall’impresa direttamente alla banca.</w:t>
      </w:r>
      <w:r w:rsidR="009437D3">
        <w:rPr>
          <w:rFonts w:cs="Arial"/>
          <w:szCs w:val="24"/>
        </w:rPr>
        <w:t xml:space="preserve"> </w:t>
      </w:r>
      <w:r w:rsidRPr="008D2F5B">
        <w:rPr>
          <w:rFonts w:cs="Arial"/>
          <w:szCs w:val="24"/>
        </w:rPr>
        <w:t>La documentazione è disponibile sulla pagina del sito del fondo di garanzia</w:t>
      </w:r>
      <w:r w:rsidR="009437D3">
        <w:rPr>
          <w:rFonts w:cs="Arial"/>
          <w:szCs w:val="24"/>
        </w:rPr>
        <w:t xml:space="preserve"> </w:t>
      </w:r>
      <w:hyperlink r:id="rId12" w:history="1">
        <w:r w:rsidR="009437D3" w:rsidRPr="004D7BE8">
          <w:rPr>
            <w:rStyle w:val="Collegamentoipertestuale"/>
            <w:rFonts w:cs="Arial"/>
            <w:szCs w:val="24"/>
          </w:rPr>
          <w:t>www.fondidigaranzia.it/le-sezioni-del-fondo/sezione-speciale-turismo/</w:t>
        </w:r>
      </w:hyperlink>
      <w:r w:rsidRPr="008D2F5B">
        <w:rPr>
          <w:rFonts w:cs="Arial"/>
          <w:szCs w:val="24"/>
        </w:rPr>
        <w:t>.</w:t>
      </w:r>
    </w:p>
    <w:p w14:paraId="14AC748A" w14:textId="77777777" w:rsidR="009437D3" w:rsidRDefault="009437D3" w:rsidP="009437D3">
      <w:pPr>
        <w:spacing w:after="120"/>
        <w:rPr>
          <w:rFonts w:cs="Arial"/>
          <w:szCs w:val="24"/>
        </w:rPr>
      </w:pPr>
    </w:p>
    <w:p w14:paraId="333012D6" w14:textId="77777777" w:rsidR="004D0BAF" w:rsidRDefault="005D3CB8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333012D7" w14:textId="77777777" w:rsidR="004D0BAF" w:rsidRDefault="005D3CB8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333012D8" w14:textId="77777777" w:rsidR="004D0BAF" w:rsidRDefault="005D3CB8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333012D9" w14:textId="77777777" w:rsidR="004D0BAF" w:rsidRDefault="004D0BAF">
      <w:pPr>
        <w:spacing w:after="120"/>
        <w:rPr>
          <w:rFonts w:cs="Arial"/>
          <w:szCs w:val="24"/>
        </w:rPr>
      </w:pPr>
    </w:p>
    <w:p w14:paraId="333012DA" w14:textId="77777777" w:rsidR="004D0BAF" w:rsidRDefault="004D0BAF">
      <w:pPr>
        <w:ind w:firstLine="0"/>
        <w:rPr>
          <w:rFonts w:cs="Arial"/>
          <w:b/>
          <w:sz w:val="20"/>
        </w:rPr>
      </w:pPr>
    </w:p>
    <w:p w14:paraId="333012DB" w14:textId="77777777" w:rsidR="004D0BAF" w:rsidRDefault="005D3CB8">
      <w:pPr>
        <w:ind w:firstLine="0"/>
      </w:pPr>
      <w:r>
        <w:rPr>
          <w:rFonts w:cs="Arial"/>
          <w:b/>
          <w:sz w:val="20"/>
        </w:rPr>
        <w:t>allegato</w:t>
      </w:r>
    </w:p>
    <w:sectPr w:rsidR="004D0BAF">
      <w:head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C92B" w14:textId="77777777" w:rsidR="0071425B" w:rsidRDefault="005D3CB8">
      <w:r>
        <w:separator/>
      </w:r>
    </w:p>
  </w:endnote>
  <w:endnote w:type="continuationSeparator" w:id="0">
    <w:p w14:paraId="71586C45" w14:textId="77777777" w:rsidR="0071425B" w:rsidRDefault="005D3CB8">
      <w:r>
        <w:continuationSeparator/>
      </w:r>
    </w:p>
  </w:endnote>
  <w:endnote w:type="continuationNotice" w:id="1">
    <w:p w14:paraId="07D260F2" w14:textId="77777777" w:rsidR="003D4070" w:rsidRDefault="003D4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2ED" w14:textId="77777777" w:rsidR="004D0BAF" w:rsidRDefault="005D3CB8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333012F3" wp14:editId="333012F4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012EE" w14:textId="77777777" w:rsidR="004D0BAF" w:rsidRDefault="005D3CB8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F0AB" w14:textId="77777777" w:rsidR="0071425B" w:rsidRDefault="005D3CB8">
      <w:r>
        <w:separator/>
      </w:r>
    </w:p>
  </w:footnote>
  <w:footnote w:type="continuationSeparator" w:id="0">
    <w:p w14:paraId="58AB8647" w14:textId="77777777" w:rsidR="0071425B" w:rsidRDefault="005D3CB8">
      <w:r>
        <w:continuationSeparator/>
      </w:r>
    </w:p>
  </w:footnote>
  <w:footnote w:type="continuationNotice" w:id="1">
    <w:p w14:paraId="75B35435" w14:textId="77777777" w:rsidR="003D4070" w:rsidRDefault="003D4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2DC" w14:textId="77777777" w:rsidR="004D0BAF" w:rsidRDefault="005D3CB8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333012EF" wp14:editId="333012F0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2DE" w14:textId="77777777" w:rsidR="004D0BAF" w:rsidRDefault="005D3CB8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51658240" behindDoc="1" locked="0" layoutInCell="1" allowOverlap="1" wp14:anchorId="333012F1" wp14:editId="333012F2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3012DF" w14:textId="77777777" w:rsidR="004D0BAF" w:rsidRDefault="004D0BAF">
    <w:pPr>
      <w:pStyle w:val="Intestazione"/>
      <w:ind w:firstLine="0"/>
      <w:rPr>
        <w:rFonts w:ascii="Arial" w:hAnsi="Arial" w:cs="Arial"/>
        <w:sz w:val="24"/>
        <w:szCs w:val="24"/>
      </w:rPr>
    </w:pPr>
  </w:p>
  <w:p w14:paraId="333012E0" w14:textId="77777777" w:rsidR="004D0BAF" w:rsidRDefault="004D0BAF">
    <w:pPr>
      <w:pStyle w:val="Intestazione"/>
      <w:ind w:firstLine="0"/>
      <w:rPr>
        <w:rFonts w:ascii="Arial" w:hAnsi="Arial" w:cs="Arial"/>
        <w:sz w:val="24"/>
        <w:szCs w:val="24"/>
      </w:rPr>
    </w:pPr>
  </w:p>
  <w:p w14:paraId="333012E1" w14:textId="77777777" w:rsidR="004D0BAF" w:rsidRDefault="004D0BAF">
    <w:pPr>
      <w:pStyle w:val="Intestazione"/>
      <w:ind w:firstLine="0"/>
      <w:rPr>
        <w:rFonts w:ascii="Arial" w:hAnsi="Arial" w:cs="Arial"/>
        <w:sz w:val="24"/>
        <w:szCs w:val="24"/>
      </w:rPr>
    </w:pPr>
  </w:p>
  <w:p w14:paraId="333012E2" w14:textId="3278EE4D" w:rsidR="004D0BAF" w:rsidRDefault="005D3CB8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C04A9F">
      <w:rPr>
        <w:rFonts w:ascii="Arial" w:hAnsi="Arial" w:cs="Arial"/>
        <w:sz w:val="24"/>
        <w:szCs w:val="24"/>
      </w:rPr>
      <w:t xml:space="preserve"> 3 novembre 2022</w:t>
    </w:r>
    <w:r>
      <w:rPr>
        <w:rFonts w:ascii="Arial" w:hAnsi="Arial" w:cs="Arial"/>
        <w:sz w:val="24"/>
        <w:szCs w:val="24"/>
      </w:rPr>
      <w:t xml:space="preserve"> </w:t>
    </w:r>
  </w:p>
  <w:p w14:paraId="333012E3" w14:textId="77777777" w:rsidR="004D0BAF" w:rsidRDefault="004D0BAF">
    <w:pPr>
      <w:pStyle w:val="Intestazione"/>
      <w:ind w:firstLine="0"/>
      <w:rPr>
        <w:rFonts w:ascii="Arial" w:hAnsi="Arial" w:cs="Arial"/>
        <w:sz w:val="24"/>
        <w:szCs w:val="24"/>
      </w:rPr>
    </w:pPr>
  </w:p>
  <w:p w14:paraId="333012E4" w14:textId="126A885A" w:rsidR="004D0BAF" w:rsidRDefault="005D3CB8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0C4141">
      <w:rPr>
        <w:rFonts w:ascii="Arial" w:hAnsi="Arial" w:cs="Arial"/>
        <w:sz w:val="24"/>
        <w:szCs w:val="24"/>
      </w:rPr>
      <w:t>382</w:t>
    </w:r>
    <w:r>
      <w:rPr>
        <w:rFonts w:ascii="Arial" w:hAnsi="Arial" w:cs="Arial"/>
        <w:sz w:val="24"/>
        <w:szCs w:val="24"/>
      </w:rPr>
      <w:t xml:space="preserve"> / 2022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333012E5" w14:textId="5D61A9A8" w:rsidR="004D0BAF" w:rsidRDefault="005D3CB8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0C4141">
      <w:rPr>
        <w:rFonts w:ascii="Arial" w:hAnsi="Arial" w:cs="Arial"/>
        <w:sz w:val="24"/>
        <w:szCs w:val="24"/>
      </w:rPr>
      <w:t>540</w:t>
    </w:r>
    <w:r>
      <w:rPr>
        <w:rFonts w:ascii="Arial" w:hAnsi="Arial" w:cs="Arial"/>
        <w:sz w:val="24"/>
        <w:szCs w:val="24"/>
      </w:rPr>
      <w:t xml:space="preserve"> /</w:t>
    </w:r>
    <w:r w:rsidR="00C04A9F">
      <w:rPr>
        <w:rFonts w:ascii="Arial" w:hAnsi="Arial" w:cs="Arial"/>
        <w:sz w:val="24"/>
        <w:szCs w:val="24"/>
      </w:rPr>
      <w:t>AG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333012E6" w14:textId="77777777" w:rsidR="004D0BAF" w:rsidRDefault="005D3CB8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333012E7" w14:textId="77777777" w:rsidR="004D0BAF" w:rsidRDefault="005D3CB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333012E8" w14:textId="77777777" w:rsidR="004D0BAF" w:rsidRDefault="005D3CB8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333012E9" w14:textId="77777777" w:rsidR="004D0BAF" w:rsidRDefault="005D3CB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333012EA" w14:textId="77777777" w:rsidR="004D0BAF" w:rsidRDefault="005D3CB8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333012EB" w14:textId="77777777" w:rsidR="004D0BAF" w:rsidRDefault="005D3CB8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333012EC" w14:textId="77777777" w:rsidR="004D0BAF" w:rsidRDefault="004D0BAF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46C"/>
    <w:multiLevelType w:val="hybridMultilevel"/>
    <w:tmpl w:val="FC169B8A"/>
    <w:lvl w:ilvl="0" w:tplc="9918DAEA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691E6789"/>
    <w:multiLevelType w:val="hybridMultilevel"/>
    <w:tmpl w:val="0D109742"/>
    <w:lvl w:ilvl="0" w:tplc="695A4016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76682926">
    <w:abstractNumId w:val="0"/>
  </w:num>
  <w:num w:numId="2" w16cid:durableId="34644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AF"/>
    <w:rsid w:val="000B5DBD"/>
    <w:rsid w:val="000C4141"/>
    <w:rsid w:val="00180876"/>
    <w:rsid w:val="001E23A4"/>
    <w:rsid w:val="00256EC2"/>
    <w:rsid w:val="00282A18"/>
    <w:rsid w:val="002D7A5A"/>
    <w:rsid w:val="003D4070"/>
    <w:rsid w:val="003F59D1"/>
    <w:rsid w:val="004808D8"/>
    <w:rsid w:val="004C7148"/>
    <w:rsid w:val="004D0BAF"/>
    <w:rsid w:val="005D3CB8"/>
    <w:rsid w:val="005E750A"/>
    <w:rsid w:val="006448BE"/>
    <w:rsid w:val="0071425B"/>
    <w:rsid w:val="007B32A1"/>
    <w:rsid w:val="00807FA7"/>
    <w:rsid w:val="008C772F"/>
    <w:rsid w:val="008D2F5B"/>
    <w:rsid w:val="008E6EBC"/>
    <w:rsid w:val="009437D3"/>
    <w:rsid w:val="00974FAD"/>
    <w:rsid w:val="00977118"/>
    <w:rsid w:val="009F1404"/>
    <w:rsid w:val="00A21126"/>
    <w:rsid w:val="00A705F3"/>
    <w:rsid w:val="00B53297"/>
    <w:rsid w:val="00BC3694"/>
    <w:rsid w:val="00C04A9F"/>
    <w:rsid w:val="00C72CDC"/>
    <w:rsid w:val="00CB0665"/>
    <w:rsid w:val="00EF59A8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12CD"/>
  <w15:docId w15:val="{A0ABC4EF-A958-40CC-9DD1-14814E6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2A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37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ndidigaranzia.it/le-sezioni-del-fondo/sezione-speciale-turism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FEDERALB-233-34706</_dlc_DocId>
    <_dlc_DocIdUrl xmlns="dd2003e8-ee4e-4182-9e66-4c90256c9f25">
      <Url>https://intranet.federalberghi.it/pubblicazioni/_layouts/15/DocIdRedir.aspx?ID=FEDERALB-233-34706</Url>
      <Description>FEDERALB-233-34706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8F785B-C402-49BC-8DC0-8EA69B6FCD66}">
  <ds:schemaRefs>
    <ds:schemaRef ds:uri="http://purl.org/dc/elements/1.1/"/>
    <ds:schemaRef ds:uri="2d2ac0f6-f1ba-42ac-bc6d-2dec6b81bd2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$ListId:Circ;"/>
    <ds:schemaRef ds:uri="e00d372c-24fe-4ce0-803c-b6187f4ec46c"/>
    <ds:schemaRef ds:uri="http://purl.org/dc/terms/"/>
    <ds:schemaRef ds:uri="3c5d6bd3-7c05-4de2-9a3a-2df53d797d57"/>
    <ds:schemaRef ds:uri="3f01b547-e4e8-474c-b1a6-851fe388f69e"/>
    <ds:schemaRef ds:uri="dd2003e8-ee4e-4182-9e66-4c90256c9f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76E2B7-00B8-40BC-9A8A-4220DF329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- sezione speciale turismo 2.docx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- sezione speciale turismo 2.docx</dc:title>
  <dc:subject/>
  <dc:creator>Cristina Rezzi</dc:creator>
  <dc:description/>
  <cp:lastModifiedBy>Cristina Rezzi</cp:lastModifiedBy>
  <cp:revision>2</cp:revision>
  <cp:lastPrinted>2015-12-09T13:58:00Z</cp:lastPrinted>
  <dcterms:created xsi:type="dcterms:W3CDTF">2022-11-03T12:20:00Z</dcterms:created>
  <dcterms:modified xsi:type="dcterms:W3CDTF">2022-11-03T12:20:00Z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682b03d1-0a1e-4126-a78d-471480f1d96f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